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Default="000E46FA" w:rsidP="0067758A">
      <w:bookmarkStart w:id="0" w:name="_GoBack"/>
      <w:bookmarkEnd w:id="0"/>
    </w:p>
    <w:p w:rsidR="0067758A" w:rsidRPr="0067758A" w:rsidRDefault="0067758A" w:rsidP="0067758A">
      <w:pPr>
        <w:pStyle w:val="Prrafodelista"/>
        <w:numPr>
          <w:ilvl w:val="0"/>
          <w:numId w:val="50"/>
        </w:numPr>
        <w:rPr>
          <w:b/>
        </w:rPr>
      </w:pPr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1380"/>
        <w:gridCol w:w="1400"/>
        <w:gridCol w:w="1340"/>
        <w:gridCol w:w="1340"/>
      </w:tblGrid>
      <w:tr w:rsidR="004A6C63" w:rsidRPr="004A6C63" w:rsidTr="004A6C63">
        <w:trPr>
          <w:trHeight w:val="300"/>
        </w:trPr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HONDA</w:t>
            </w:r>
          </w:p>
        </w:tc>
      </w:tr>
      <w:tr w:rsidR="004A6C63" w:rsidRPr="004A6C63" w:rsidTr="004A6C63">
        <w:trPr>
          <w:trHeight w:val="315"/>
        </w:trPr>
        <w:tc>
          <w:tcPr>
            <w:tcW w:w="9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4A6C63">
              <w:rPr>
                <w:rFonts w:ascii="Tahoma" w:eastAsia="Times New Roman" w:hAnsi="Tahoma" w:cs="Tahoma"/>
                <w:color w:val="auto"/>
              </w:rPr>
              <w:t>Balance General Comparativo 2015 - 2014</w:t>
            </w:r>
          </w:p>
        </w:tc>
      </w:tr>
      <w:tr w:rsidR="004A6C63" w:rsidRPr="004A6C63" w:rsidTr="004A6C63">
        <w:trPr>
          <w:trHeight w:val="2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4A6C63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4A6C63" w:rsidRPr="004A6C63" w:rsidTr="004A6C63">
        <w:trPr>
          <w:trHeight w:val="52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0000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4A6C63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85,766,509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71,772,366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13,994,143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19.50%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7,912,096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7,282,575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629,521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8.64%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7,912,096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7,282,575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629,521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8.64%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963,044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963,044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CONTROLADAS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961,946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-961,946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EN LIQUIDACIÓN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963,044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961,946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87608.93%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4,677,944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7,199,500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-2,521,556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-35.02%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1,594,698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1,264,286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330,412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26.13%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3,083,246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5,935,214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-2,851,968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-48.05%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6,086,223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715,499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5,370,724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750.63%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2,532,338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2,522,158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24775.62%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629,181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657,624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-28,443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-4.33%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1,441,716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1,436,716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28734.32%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1,442,532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1,442,532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58,699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-18,243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13.99%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21,135,952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9,531,042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11,604,910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121.76%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2,939,700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765,432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2,174,268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284.06%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11,565,028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6,563,729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5,001,299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76.20%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9,702,245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9,677,833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39643.75%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1,685,989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1,650,661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35,328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2.14%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93,422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93,422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29,041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29,041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181,652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154,113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27,539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17.87%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170,512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150,983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19,529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12.93%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206,709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37,389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22.08%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16,711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10,971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191.13%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-5,416,816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-91,495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-5,325,321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5820.34%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PROVISIONES PARA PROTECCIÓN DE PROPIEDADES, PLANTA Y EQUIPO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-53,925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-53,925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32,537,293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32,709,394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-172,101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-0.53%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559,023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-559,023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33,166,098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32,436,857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729,241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2.25%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526,210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526,210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BIENES DE USO PÚBLICO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-1,155,015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-812,696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-342,319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42.12%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12,453,957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13,371,312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-917,355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-6.86%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11,724,452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12,657,342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-932,890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-7.37%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Y SERVICIOS PAGADOS POR ANTICIPADO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16,647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-16,369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-49.58%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-24,500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514,637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490,137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2000.56%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BIENES ENTREGADOS A TERCEROS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-4,670,084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4,670,084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206,448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193,889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12,559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6.48%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-43,677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-15,951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-27,726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173.82%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1,426,917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1,803,481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-376,564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-20.88%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700,260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649,822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50,438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7.76%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163,888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332,897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-169,009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-50.77%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66,840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48,805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270.61%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370,492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273,049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97,443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35.69%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59,898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59,898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35,209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9,368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36.25%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701,317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796,988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-95,671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698,086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702,242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-0.59%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94,746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-91,515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-96.59%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25,340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356,671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-331,331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-92.90%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25,340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356,671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-331,331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-92.90%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84,339,592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69,968,885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14,370,707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20.54%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84,339,592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69,968,885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14,370,707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20.54%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82,657,592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66,657,023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16,000,569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24.00%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2,630,733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3,333,636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-702,903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-21.09%</w:t>
            </w:r>
          </w:p>
        </w:tc>
      </w:tr>
      <w:tr w:rsidR="004A6C63" w:rsidRPr="004A6C63" w:rsidTr="004A6C63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SUPERÁVIT POR EL MÉTODO DE PARTICIPACIÓN PATRIMONIAL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963,044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962,465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0.06%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141,552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65,022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84.96%</w:t>
            </w:r>
          </w:p>
        </w:tc>
      </w:tr>
      <w:tr w:rsidR="004A6C63" w:rsidRPr="004A6C63" w:rsidTr="004A6C63">
        <w:trPr>
          <w:trHeight w:val="25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215,716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162,087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53,629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33.09%</w:t>
            </w:r>
          </w:p>
        </w:tc>
      </w:tr>
      <w:tr w:rsidR="004A6C63" w:rsidRPr="004A6C63" w:rsidTr="004A6C63">
        <w:trPr>
          <w:trHeight w:val="465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C63" w:rsidRPr="004A6C63" w:rsidRDefault="004A6C63" w:rsidP="004A6C63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-2,269,045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-1,222,856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-1,046,189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6C63" w:rsidRPr="004A6C63" w:rsidRDefault="004A6C63" w:rsidP="004A6C63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4A6C63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85.55%</w:t>
            </w:r>
          </w:p>
        </w:tc>
      </w:tr>
    </w:tbl>
    <w:p w:rsidR="0067758A" w:rsidRDefault="0067758A" w:rsidP="0067758A"/>
    <w:p w:rsidR="00BC5D7D" w:rsidRDefault="00BC5D7D" w:rsidP="0067758A"/>
    <w:p w:rsidR="0019694C" w:rsidRDefault="001C7185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Honda Tolima, en su Balance General a 31 de diciembre nos muestra un aumento en sus activos, el cual se ubicó en el </w:t>
      </w:r>
      <w:r w:rsidR="004A6C63">
        <w:rPr>
          <w:rFonts w:ascii="Tahoma" w:hAnsi="Tahoma" w:cs="Tahoma"/>
        </w:rPr>
        <w:t>19.50</w:t>
      </w:r>
      <w:r>
        <w:rPr>
          <w:rFonts w:ascii="Tahoma" w:hAnsi="Tahoma" w:cs="Tahoma"/>
        </w:rPr>
        <w:t>2%</w:t>
      </w:r>
      <w:r w:rsidR="00EE5CDC">
        <w:rPr>
          <w:rFonts w:ascii="Tahoma" w:hAnsi="Tahoma" w:cs="Tahoma"/>
        </w:rPr>
        <w:t xml:space="preserve">, sus Pasivos por el contrario reflejan una disminución del </w:t>
      </w:r>
      <w:r w:rsidR="004A6C63">
        <w:rPr>
          <w:rFonts w:ascii="Tahoma" w:hAnsi="Tahoma" w:cs="Tahoma"/>
        </w:rPr>
        <w:t>20.8</w:t>
      </w:r>
      <w:r w:rsidR="00EE5CDC">
        <w:rPr>
          <w:rFonts w:ascii="Tahoma" w:hAnsi="Tahoma" w:cs="Tahoma"/>
        </w:rPr>
        <w:t>8%, mientras que el Patrimonio presenta un aumento del 2</w:t>
      </w:r>
      <w:r w:rsidR="004A6C63">
        <w:rPr>
          <w:rFonts w:ascii="Tahoma" w:hAnsi="Tahoma" w:cs="Tahoma"/>
        </w:rPr>
        <w:t>0</w:t>
      </w:r>
      <w:r w:rsidR="00EE5CDC">
        <w:rPr>
          <w:rFonts w:ascii="Tahoma" w:hAnsi="Tahoma" w:cs="Tahoma"/>
        </w:rPr>
        <w:t>.</w:t>
      </w:r>
      <w:r w:rsidR="004A6C63">
        <w:rPr>
          <w:rFonts w:ascii="Tahoma" w:hAnsi="Tahoma" w:cs="Tahoma"/>
        </w:rPr>
        <w:t>54</w:t>
      </w:r>
      <w:r w:rsidR="00EE5CDC">
        <w:rPr>
          <w:rFonts w:ascii="Tahoma" w:hAnsi="Tahoma" w:cs="Tahoma"/>
        </w:rPr>
        <w:t>%.</w:t>
      </w:r>
    </w:p>
    <w:p w:rsidR="00EE5CDC" w:rsidRDefault="00EE5CDC" w:rsidP="00D54F11">
      <w:pPr>
        <w:spacing w:before="0" w:after="0"/>
        <w:jc w:val="both"/>
        <w:rPr>
          <w:rFonts w:ascii="Tahoma" w:hAnsi="Tahoma" w:cs="Tahoma"/>
        </w:rPr>
      </w:pPr>
    </w:p>
    <w:p w:rsidR="00EE5CDC" w:rsidRDefault="004A6C63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 obsta</w:t>
      </w:r>
      <w:r w:rsidR="00EE5CDC">
        <w:rPr>
          <w:rFonts w:ascii="Tahoma" w:hAnsi="Tahoma" w:cs="Tahoma"/>
        </w:rPr>
        <w:t>nte los activos haber presentado un incremento, cuentas que conforman este rubro como l</w:t>
      </w:r>
      <w:r>
        <w:rPr>
          <w:rFonts w:ascii="Tahoma" w:hAnsi="Tahoma" w:cs="Tahoma"/>
        </w:rPr>
        <w:t>a</w:t>
      </w:r>
      <w:r w:rsidR="00EE5CDC">
        <w:rPr>
          <w:rFonts w:ascii="Tahoma" w:hAnsi="Tahoma" w:cs="Tahoma"/>
        </w:rPr>
        <w:t xml:space="preserve">s </w:t>
      </w:r>
      <w:r>
        <w:rPr>
          <w:rFonts w:ascii="Tahoma" w:hAnsi="Tahoma" w:cs="Tahoma"/>
        </w:rPr>
        <w:t>Rentas por Cobrar</w:t>
      </w:r>
      <w:r w:rsidR="00EE5CDC">
        <w:rPr>
          <w:rFonts w:ascii="Tahoma" w:hAnsi="Tahoma" w:cs="Tahoma"/>
        </w:rPr>
        <w:t xml:space="preserve"> reflejan una disminución del </w:t>
      </w:r>
      <w:r>
        <w:rPr>
          <w:rFonts w:ascii="Tahoma" w:hAnsi="Tahoma" w:cs="Tahoma"/>
        </w:rPr>
        <w:t>35.02</w:t>
      </w:r>
      <w:r w:rsidR="00EE5CDC">
        <w:rPr>
          <w:rFonts w:ascii="Tahoma" w:hAnsi="Tahoma" w:cs="Tahoma"/>
        </w:rPr>
        <w:t>% que en términos reales equivale  a la suma de $</w:t>
      </w:r>
      <w:r>
        <w:rPr>
          <w:rFonts w:ascii="Tahoma" w:hAnsi="Tahoma" w:cs="Tahoma"/>
        </w:rPr>
        <w:t xml:space="preserve">-2.521.556 </w:t>
      </w:r>
      <w:r w:rsidR="00EE5CDC">
        <w:rPr>
          <w:rFonts w:ascii="Tahoma" w:hAnsi="Tahoma" w:cs="Tahoma"/>
        </w:rPr>
        <w:t>miles</w:t>
      </w:r>
      <w:r>
        <w:rPr>
          <w:rFonts w:ascii="Tahoma" w:hAnsi="Tahoma" w:cs="Tahoma"/>
        </w:rPr>
        <w:t>.</w:t>
      </w:r>
    </w:p>
    <w:p w:rsidR="004A6C63" w:rsidRDefault="004A6C63" w:rsidP="00D54F11">
      <w:pPr>
        <w:spacing w:before="0" w:after="0"/>
        <w:jc w:val="both"/>
        <w:rPr>
          <w:rFonts w:ascii="Tahoma" w:hAnsi="Tahoma" w:cs="Tahoma"/>
        </w:rPr>
      </w:pPr>
    </w:p>
    <w:p w:rsidR="008925BD" w:rsidRDefault="004A6C63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otra parte, la Cuenta Depósitos en Instituciones Financieras de un saldo en el 2014 por la suma de $7.282.575 miles, paso en el 2015 a un valor de $7.912.096, para una variación porcentual del 8.64%, es decir $629.521 miles de pesos. Así mismo la cuenta Deudores registra un crecimiento del 750.63%, impulsado por el </w:t>
      </w:r>
      <w:r w:rsidR="008925BD">
        <w:rPr>
          <w:rFonts w:ascii="Tahoma" w:hAnsi="Tahoma" w:cs="Tahoma"/>
        </w:rPr>
        <w:t>considerable incremento de las Cuentas Avances y Anticipos Entregados y Recursos Entregados en Administración, las cuales presentan incrementos de $1.436.716 y $1.442.532 miles, respectivamente.</w:t>
      </w:r>
    </w:p>
    <w:p w:rsidR="008925BD" w:rsidRDefault="008925BD" w:rsidP="00D54F11">
      <w:pPr>
        <w:spacing w:before="0" w:after="0"/>
        <w:jc w:val="both"/>
        <w:rPr>
          <w:rFonts w:ascii="Tahoma" w:hAnsi="Tahoma" w:cs="Tahoma"/>
        </w:rPr>
      </w:pPr>
    </w:p>
    <w:p w:rsidR="00DF00F3" w:rsidRDefault="008925BD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Propiedad Planta y Equipo, por su parte refleja un incremento del 121.76%, es decir que, de un saldo a diciembre 31 de 2014 por la suma de $9.531.042 miles de pesos, paso a un saldo en el 2015 por valor de $21.135.952, una variación absoluta de $</w:t>
      </w:r>
      <w:r w:rsidR="00DF00F3">
        <w:rPr>
          <w:rFonts w:ascii="Tahoma" w:hAnsi="Tahoma" w:cs="Tahoma"/>
        </w:rPr>
        <w:t>11.604.910 miles de pesos.</w:t>
      </w:r>
    </w:p>
    <w:p w:rsidR="00DF00F3" w:rsidRDefault="00DF00F3" w:rsidP="00D54F11">
      <w:pPr>
        <w:spacing w:before="0" w:after="0"/>
        <w:jc w:val="both"/>
        <w:rPr>
          <w:rFonts w:ascii="Tahoma" w:hAnsi="Tahoma" w:cs="Tahoma"/>
        </w:rPr>
      </w:pPr>
    </w:p>
    <w:p w:rsidR="004A6C63" w:rsidRDefault="00DF00F3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el anterior aumento en la PPyE, se debió al registro de nuevas propiedades en las cuentas Edificaciones por valor de $5.001.299 y Plantas Ductos y Túneles la suma de $9.677.83, los Terrenos también registran un incremento de 284.06%, comparadas con s cifras registradas en el estado financiero de la vigencia 2014.</w:t>
      </w:r>
    </w:p>
    <w:p w:rsidR="00EE5CDC" w:rsidRDefault="00EE5CDC" w:rsidP="00D54F11">
      <w:pPr>
        <w:spacing w:before="0" w:after="0"/>
        <w:jc w:val="both"/>
        <w:rPr>
          <w:rFonts w:ascii="Tahoma" w:hAnsi="Tahoma" w:cs="Tahoma"/>
        </w:rPr>
      </w:pPr>
    </w:p>
    <w:p w:rsidR="00EE5CDC" w:rsidRDefault="00EE5CDC" w:rsidP="00D54F11">
      <w:pPr>
        <w:spacing w:before="0" w:after="0"/>
        <w:jc w:val="both"/>
        <w:rPr>
          <w:rFonts w:ascii="Tahoma" w:hAnsi="Tahoma" w:cs="Tahoma"/>
        </w:rPr>
      </w:pPr>
    </w:p>
    <w:p w:rsidR="00EE5CDC" w:rsidRDefault="00DF00F3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el</w:t>
      </w:r>
      <w:r w:rsidR="00EE5CDC">
        <w:rPr>
          <w:rFonts w:ascii="Tahoma" w:hAnsi="Tahoma" w:cs="Tahoma"/>
        </w:rPr>
        <w:t xml:space="preserve"> Pasivo por su parte</w:t>
      </w:r>
      <w:r w:rsidR="0025784C">
        <w:rPr>
          <w:rFonts w:ascii="Tahoma" w:hAnsi="Tahoma" w:cs="Tahoma"/>
        </w:rPr>
        <w:t>, las cuentas</w:t>
      </w:r>
      <w:r>
        <w:rPr>
          <w:rFonts w:ascii="Tahoma" w:hAnsi="Tahoma" w:cs="Tahoma"/>
        </w:rPr>
        <w:t xml:space="preserve"> Obligaciones Laborales y de Seguridad Integral, y Otros Pasivos revelan disminuciones del 12.00% y 96.59%, respectivamente, contrario a esto esta las  Cuentas Por Pagar que reflejan un incremento del 7.76%.</w:t>
      </w:r>
    </w:p>
    <w:p w:rsidR="00DF00F3" w:rsidRDefault="00DF00F3" w:rsidP="00D54F11">
      <w:pPr>
        <w:spacing w:before="0" w:after="0"/>
        <w:jc w:val="both"/>
        <w:rPr>
          <w:rFonts w:ascii="Tahoma" w:hAnsi="Tahoma" w:cs="Tahoma"/>
        </w:rPr>
      </w:pPr>
    </w:p>
    <w:p w:rsidR="00DF00F3" w:rsidRDefault="00DF00F3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Teniendo en cuenta lo anterior, </w:t>
      </w:r>
      <w:r w:rsidR="009523F7">
        <w:rPr>
          <w:rFonts w:ascii="Tahoma" w:hAnsi="Tahoma" w:cs="Tahoma"/>
        </w:rPr>
        <w:t>es que la disminución del Pasivo ascendió a la suma de $-376.564, pasando de un saldo en el 2014 de $1.803.481, a un saldo en el 2015 por el vaor de $1.426.917</w:t>
      </w:r>
    </w:p>
    <w:p w:rsidR="00B56463" w:rsidRDefault="00B56463" w:rsidP="00D54F11">
      <w:pPr>
        <w:spacing w:before="0" w:after="0"/>
        <w:jc w:val="both"/>
        <w:rPr>
          <w:rFonts w:ascii="Tahoma" w:hAnsi="Tahoma" w:cs="Tahoma"/>
        </w:rPr>
      </w:pPr>
    </w:p>
    <w:p w:rsidR="00B56463" w:rsidRDefault="009523F7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</w:t>
      </w:r>
      <w:r w:rsidR="00B56463">
        <w:rPr>
          <w:rFonts w:ascii="Tahoma" w:hAnsi="Tahoma" w:cs="Tahoma"/>
        </w:rPr>
        <w:t>l grupo de cuentas que conforman el Patrimonio incrementaron su saldo en el 2</w:t>
      </w:r>
      <w:r w:rsidR="007B2C12">
        <w:rPr>
          <w:rFonts w:ascii="Tahoma" w:hAnsi="Tahoma" w:cs="Tahoma"/>
        </w:rPr>
        <w:t>0</w:t>
      </w:r>
      <w:r w:rsidR="00B56463">
        <w:rPr>
          <w:rFonts w:ascii="Tahoma" w:hAnsi="Tahoma" w:cs="Tahoma"/>
        </w:rPr>
        <w:t>.</w:t>
      </w:r>
      <w:r w:rsidR="007B2C12">
        <w:rPr>
          <w:rFonts w:ascii="Tahoma" w:hAnsi="Tahoma" w:cs="Tahoma"/>
        </w:rPr>
        <w:t>54</w:t>
      </w:r>
      <w:r w:rsidR="00B56463">
        <w:rPr>
          <w:rFonts w:ascii="Tahoma" w:hAnsi="Tahoma" w:cs="Tahoma"/>
        </w:rPr>
        <w:t>%, pasaron de un saldo de $</w:t>
      </w:r>
      <w:r w:rsidR="007B2C12">
        <w:rPr>
          <w:rFonts w:ascii="Tahoma" w:hAnsi="Tahoma" w:cs="Tahoma"/>
        </w:rPr>
        <w:t>69.968.885</w:t>
      </w:r>
      <w:r w:rsidR="00B56463">
        <w:rPr>
          <w:rFonts w:ascii="Tahoma" w:hAnsi="Tahoma" w:cs="Tahoma"/>
        </w:rPr>
        <w:t xml:space="preserve"> en el 201</w:t>
      </w:r>
      <w:r w:rsidR="007B2C12">
        <w:rPr>
          <w:rFonts w:ascii="Tahoma" w:hAnsi="Tahoma" w:cs="Tahoma"/>
        </w:rPr>
        <w:t>4</w:t>
      </w:r>
      <w:r w:rsidR="00B56463">
        <w:rPr>
          <w:rFonts w:ascii="Tahoma" w:hAnsi="Tahoma" w:cs="Tahoma"/>
        </w:rPr>
        <w:t>, a la suma de $</w:t>
      </w:r>
      <w:r w:rsidR="007B2C12">
        <w:rPr>
          <w:rFonts w:ascii="Tahoma" w:hAnsi="Tahoma" w:cs="Tahoma"/>
        </w:rPr>
        <w:t>84</w:t>
      </w:r>
      <w:r w:rsidR="00B56463">
        <w:rPr>
          <w:rFonts w:ascii="Tahoma" w:hAnsi="Tahoma" w:cs="Tahoma"/>
        </w:rPr>
        <w:t>.</w:t>
      </w:r>
      <w:r w:rsidR="007B2C12">
        <w:rPr>
          <w:rFonts w:ascii="Tahoma" w:hAnsi="Tahoma" w:cs="Tahoma"/>
        </w:rPr>
        <w:t>339</w:t>
      </w:r>
      <w:r w:rsidR="00B56463">
        <w:rPr>
          <w:rFonts w:ascii="Tahoma" w:hAnsi="Tahoma" w:cs="Tahoma"/>
        </w:rPr>
        <w:t>.</w:t>
      </w:r>
      <w:r w:rsidR="007B2C12">
        <w:rPr>
          <w:rFonts w:ascii="Tahoma" w:hAnsi="Tahoma" w:cs="Tahoma"/>
        </w:rPr>
        <w:t>592</w:t>
      </w:r>
      <w:r w:rsidR="00B56463">
        <w:rPr>
          <w:rFonts w:ascii="Tahoma" w:hAnsi="Tahoma" w:cs="Tahoma"/>
        </w:rPr>
        <w:t xml:space="preserve"> en el 201</w:t>
      </w:r>
      <w:r w:rsidR="007B2C12">
        <w:rPr>
          <w:rFonts w:ascii="Tahoma" w:hAnsi="Tahoma" w:cs="Tahoma"/>
        </w:rPr>
        <w:t>5</w:t>
      </w:r>
      <w:r w:rsidR="00B56463">
        <w:rPr>
          <w:rFonts w:ascii="Tahoma" w:hAnsi="Tahoma" w:cs="Tahoma"/>
        </w:rPr>
        <w:t>, para una variación absoluta de $</w:t>
      </w:r>
      <w:r w:rsidR="007B2C12">
        <w:rPr>
          <w:rFonts w:ascii="Tahoma" w:hAnsi="Tahoma" w:cs="Tahoma"/>
        </w:rPr>
        <w:t>14.370.707</w:t>
      </w:r>
      <w:r w:rsidR="00B56463">
        <w:rPr>
          <w:rFonts w:ascii="Tahoma" w:hAnsi="Tahoma" w:cs="Tahoma"/>
        </w:rPr>
        <w:t xml:space="preserve">; el anterior incremento lo impulso principalmente la cuenta </w:t>
      </w:r>
      <w:r w:rsidR="007B2C12">
        <w:rPr>
          <w:rFonts w:ascii="Tahoma" w:hAnsi="Tahoma" w:cs="Tahoma"/>
        </w:rPr>
        <w:t>Capital Fiscal</w:t>
      </w:r>
      <w:r w:rsidR="00B56463">
        <w:rPr>
          <w:rFonts w:ascii="Tahoma" w:hAnsi="Tahoma" w:cs="Tahoma"/>
        </w:rPr>
        <w:t xml:space="preserve"> la cual refleja un incremento del </w:t>
      </w:r>
      <w:r w:rsidR="007B2C12">
        <w:rPr>
          <w:rFonts w:ascii="Tahoma" w:hAnsi="Tahoma" w:cs="Tahoma"/>
        </w:rPr>
        <w:t>24.00</w:t>
      </w:r>
      <w:r w:rsidR="00B56463">
        <w:rPr>
          <w:rFonts w:ascii="Tahoma" w:hAnsi="Tahoma" w:cs="Tahoma"/>
        </w:rPr>
        <w:t>%.</w:t>
      </w:r>
    </w:p>
    <w:p w:rsidR="007B2C12" w:rsidRDefault="007B2C12" w:rsidP="00D54F11">
      <w:pPr>
        <w:spacing w:before="0" w:after="0"/>
        <w:jc w:val="both"/>
        <w:rPr>
          <w:rFonts w:ascii="Tahoma" w:hAnsi="Tahoma" w:cs="Tahoma"/>
        </w:rPr>
      </w:pPr>
    </w:p>
    <w:p w:rsidR="007B2C12" w:rsidRDefault="007B2C12" w:rsidP="00D54F11">
      <w:pPr>
        <w:spacing w:before="0" w:after="0"/>
        <w:jc w:val="both"/>
        <w:rPr>
          <w:rFonts w:ascii="Tahoma" w:hAnsi="Tahoma" w:cs="Tahoma"/>
        </w:rPr>
      </w:pPr>
    </w:p>
    <w:p w:rsidR="007B2C12" w:rsidRDefault="007B2C12" w:rsidP="00D54F11">
      <w:pPr>
        <w:spacing w:before="0" w:after="0"/>
        <w:jc w:val="both"/>
        <w:rPr>
          <w:rFonts w:ascii="Tahoma" w:hAnsi="Tahoma" w:cs="Tahoma"/>
        </w:rPr>
      </w:pPr>
    </w:p>
    <w:p w:rsidR="0019694C" w:rsidRPr="00D54F11" w:rsidRDefault="0019694C" w:rsidP="00D54F11">
      <w:pPr>
        <w:spacing w:before="0" w:after="0"/>
        <w:jc w:val="both"/>
        <w:rPr>
          <w:rFonts w:ascii="Tahoma" w:hAnsi="Tahoma" w:cs="Tahoma"/>
        </w:rPr>
      </w:pPr>
    </w:p>
    <w:p w:rsidR="00896B2B" w:rsidRDefault="007B2C12" w:rsidP="000A5F72">
      <w:pPr>
        <w:spacing w:before="0" w:after="0"/>
      </w:pPr>
      <w:r>
        <w:rPr>
          <w:noProof/>
        </w:rPr>
        <w:drawing>
          <wp:inline distT="0" distB="0" distL="0" distR="0" wp14:anchorId="180D1DBD">
            <wp:extent cx="5334635" cy="355409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355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6B2B" w:rsidRDefault="00896B2B" w:rsidP="000A5F72">
      <w:pPr>
        <w:spacing w:before="0" w:after="0"/>
      </w:pPr>
    </w:p>
    <w:p w:rsidR="007B2C12" w:rsidRDefault="007B2C12" w:rsidP="000A5F72">
      <w:pPr>
        <w:spacing w:before="0" w:after="0"/>
      </w:pPr>
    </w:p>
    <w:p w:rsidR="007B2C12" w:rsidRDefault="007B2C12" w:rsidP="000A5F72">
      <w:pPr>
        <w:spacing w:before="0" w:after="0"/>
      </w:pPr>
    </w:p>
    <w:p w:rsidR="007B2C12" w:rsidRDefault="007B2C12" w:rsidP="000A5F72">
      <w:pPr>
        <w:spacing w:before="0" w:after="0"/>
      </w:pPr>
    </w:p>
    <w:p w:rsidR="007B2C12" w:rsidRDefault="007B2C12" w:rsidP="000A5F72">
      <w:pPr>
        <w:spacing w:before="0" w:after="0"/>
      </w:pPr>
    </w:p>
    <w:p w:rsidR="007B2C12" w:rsidRDefault="007B2C12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lastRenderedPageBreak/>
        <w:t>ESTADO DE ACTIVIDAD FINANCIERA, ECONÓMICA, SOCIAL Y AMBIENTAL COMPARATIVO</w:t>
      </w: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360"/>
        <w:gridCol w:w="1360"/>
        <w:gridCol w:w="1400"/>
        <w:gridCol w:w="1420"/>
      </w:tblGrid>
      <w:tr w:rsidR="007B2C12" w:rsidRPr="007B2C12" w:rsidTr="007B2C12">
        <w:trPr>
          <w:trHeight w:val="300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HONDA</w:t>
            </w:r>
          </w:p>
        </w:tc>
      </w:tr>
      <w:tr w:rsidR="007B2C12" w:rsidRPr="007B2C12" w:rsidTr="007B2C12">
        <w:trPr>
          <w:trHeight w:val="285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7B2C12">
              <w:rPr>
                <w:rFonts w:ascii="Tahoma" w:eastAsia="Times New Roman" w:hAnsi="Tahoma" w:cs="Tahoma"/>
                <w:color w:val="auto"/>
              </w:rPr>
              <w:t>Estado de Actividad Financiera, Económica y Social Comparativo 2015 - 2014</w:t>
            </w:r>
          </w:p>
        </w:tc>
      </w:tr>
      <w:tr w:rsidR="007B2C12" w:rsidRPr="007B2C12" w:rsidTr="007B2C12">
        <w:trPr>
          <w:trHeight w:val="27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7B2C12" w:rsidRPr="007B2C12" w:rsidTr="007B2C12">
        <w:trPr>
          <w:trHeight w:val="465"/>
        </w:trPr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SALDO FINAL DIC - 2014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0000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VARIACION ABSOLUTA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VARIACION RELATIVA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19,185,723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20,283,747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-1,098,024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-5.41%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6,532,196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6,242,514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289,682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4.64%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5,811,685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5,663,409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148,276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2.62%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720,511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579,105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141,406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24.42%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12,193,213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12,710,096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-516,883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-4.07%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6,425,904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5,523,330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902,574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16.34%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2,901,843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2,590,987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310,856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12.00%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641,841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707,245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-65,404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-9.25%</w:t>
            </w:r>
          </w:p>
        </w:tc>
      </w:tr>
      <w:tr w:rsidR="007B2C12" w:rsidRPr="007B2C12" w:rsidTr="007B2C12">
        <w:trPr>
          <w:trHeight w:val="31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1,964,868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1,129,733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835,135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73.92%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286,859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-235,248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-82.01%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MUNICIPIOS Y DISTRITOS CON RIBERA SOBRE EL RÍO GRANDE DE LA MAGDALENA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222,323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49,750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172,573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346.88%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597,561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208,441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389,120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186.68%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45,857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550,315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-504,458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-91.67%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699,358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1,022,419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-323,061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-31.60%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572,809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1,583,469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-1,010,660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-63.83%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460,314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1,331,137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-870,823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-65.42%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213,054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179,462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33,592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18.72%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49,243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3708.06%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-1,326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-99.85%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196,687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196,057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31120.16%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16,554,990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16,950,111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-395,121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-2.33%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2,815,244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3,739,819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-924,575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-24.72%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1,800,222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2,440,468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-640,246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-26.23%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611,833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-515,338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-84.23%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57,607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-1.59%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531,024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323,603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207,421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64.10%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44,785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497611.11%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786,545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2,490,435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-1,703,890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-68.42%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447,762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276,479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171,283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61.95%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332,004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232,357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99,647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42.89%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CONTRIBUCIONES EFECTIVAS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-2,032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-95.53%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1,946,316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-1,946,076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-99.99%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33,156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-26,712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-80.56%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248,583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-167,095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-67.22%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2,241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41,470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248,583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-210,806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-84.80%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409,886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373,644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1030.97%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409,886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373,644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1030.97%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12,377,921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9,766,733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2,611,188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26.74%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1,029,271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879,976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149,295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16.97%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8,099,951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7,451,185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648,766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8.71%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494,794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196,301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298,493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152.06%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1,375,262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28,737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1,346,525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4685.68%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66,059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71,923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-5,864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-8.15%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271,685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125,867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145,818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115.85%</w:t>
            </w:r>
          </w:p>
        </w:tc>
      </w:tr>
      <w:tr w:rsidR="007B2C12" w:rsidRPr="007B2C12" w:rsidTr="007B2C12">
        <w:trPr>
          <w:trHeight w:val="45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861,991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482,961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379,030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78.48%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46,841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-9,494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-20.27%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482,942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-341,381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-70.69%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83,906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668,299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-584,393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-87.44%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-1,036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-93.59%</w:t>
            </w:r>
          </w:p>
        </w:tc>
      </w:tr>
      <w:tr w:rsidR="007B2C12" w:rsidRPr="007B2C12" w:rsidTr="007B2C12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79,985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646,711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-566,726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-87.63%</w:t>
            </w:r>
          </w:p>
        </w:tc>
      </w:tr>
      <w:tr w:rsidR="007B2C12" w:rsidRPr="007B2C12" w:rsidTr="007B2C12">
        <w:trPr>
          <w:trHeight w:val="27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20,481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-16,631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2C12" w:rsidRPr="007B2C12" w:rsidRDefault="007B2C12" w:rsidP="007B2C1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B2C1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-81.20%</w:t>
            </w:r>
          </w:p>
        </w:tc>
      </w:tr>
    </w:tbl>
    <w:p w:rsidR="00BC5D7D" w:rsidRDefault="00BC5D7D" w:rsidP="0067758A">
      <w:pPr>
        <w:rPr>
          <w:noProof/>
        </w:rPr>
      </w:pPr>
    </w:p>
    <w:p w:rsidR="007B2C12" w:rsidRDefault="007B2C12" w:rsidP="007B2C12">
      <w:pPr>
        <w:spacing w:before="0" w:after="0"/>
        <w:jc w:val="both"/>
        <w:rPr>
          <w:noProof/>
        </w:rPr>
      </w:pPr>
      <w:r>
        <w:rPr>
          <w:noProof/>
        </w:rPr>
        <w:t>En el Estado de Actividad Financiera, la Alcaldía Municipal de Honda registra un disminucion en sus Ingresos por la suma de $1.098.024 miles de pesos, que comprados con lo registrado en la vigencia 2014, se redujeron en el 5.41%, igual situacion reflejan lo Gastos los cules decrecieron el -2.33%, equivalente a la suma de $395.121 miles de Pesos.</w:t>
      </w:r>
    </w:p>
    <w:p w:rsidR="007B2C12" w:rsidRDefault="007B2C12" w:rsidP="007B2C12">
      <w:pPr>
        <w:spacing w:before="0" w:after="0"/>
        <w:jc w:val="both"/>
        <w:rPr>
          <w:noProof/>
        </w:rPr>
      </w:pPr>
    </w:p>
    <w:p w:rsidR="007B2C12" w:rsidRDefault="007B2C12" w:rsidP="007B2C12">
      <w:pPr>
        <w:jc w:val="both"/>
        <w:rPr>
          <w:noProof/>
        </w:rPr>
      </w:pPr>
      <w:r>
        <w:rPr>
          <w:noProof/>
        </w:rPr>
        <w:t>La reduccion de los ingresos, fue producto de</w:t>
      </w:r>
      <w:r w:rsidR="003E0080">
        <w:rPr>
          <w:noProof/>
        </w:rPr>
        <w:t>l la disminucion por ejemplo, de los Otros Ingresos ue bajron su recaudo en el 65.42%, los recursos por Sistema General de Regalias el -31.60% y las Transferencias el -4.07%.</w:t>
      </w:r>
    </w:p>
    <w:p w:rsidR="003E0080" w:rsidRDefault="003E0080" w:rsidP="007B2C12">
      <w:pPr>
        <w:jc w:val="both"/>
        <w:rPr>
          <w:noProof/>
        </w:rPr>
      </w:pPr>
    </w:p>
    <w:p w:rsidR="003E0080" w:rsidRDefault="003E0080" w:rsidP="007B2C12">
      <w:pPr>
        <w:jc w:val="both"/>
        <w:rPr>
          <w:noProof/>
        </w:rPr>
      </w:pPr>
      <w:r>
        <w:rPr>
          <w:noProof/>
        </w:rPr>
        <w:t>Es asi como, los Programas de  Alimentación Escolar</w:t>
      </w:r>
      <w:r w:rsidR="00ED1873">
        <w:rPr>
          <w:noProof/>
        </w:rPr>
        <w:t xml:space="preserve"> con el 82.01% de reduccion y la Atencion Integral a la Primera Infancia con el 91.67%, fueron las cuentas que contribuyeron  a la disminucion de los ingresos por transferencias.</w:t>
      </w:r>
    </w:p>
    <w:p w:rsidR="00AB4EE7" w:rsidRDefault="00AB4EE7" w:rsidP="0067758A">
      <w:pPr>
        <w:rPr>
          <w:noProof/>
        </w:rPr>
      </w:pPr>
    </w:p>
    <w:p w:rsidR="003740CB" w:rsidRDefault="00CE15C2" w:rsidP="004A16AB">
      <w:pPr>
        <w:spacing w:before="0" w:after="0"/>
        <w:jc w:val="both"/>
      </w:pPr>
      <w:r>
        <w:t>El Estado de Actividad Financiera en el grupo de Ingresos refleja un aumento del 9.03% y los Gastos el 5.37%.</w:t>
      </w:r>
    </w:p>
    <w:p w:rsidR="004C5FD6" w:rsidRDefault="004C5FD6" w:rsidP="004A16AB">
      <w:pPr>
        <w:spacing w:before="0" w:after="0"/>
        <w:jc w:val="both"/>
      </w:pPr>
    </w:p>
    <w:p w:rsidR="004C5FD6" w:rsidRDefault="004C5FD6" w:rsidP="004A16AB">
      <w:pPr>
        <w:spacing w:before="0" w:after="0"/>
        <w:jc w:val="both"/>
      </w:pPr>
      <w:r>
        <w:t>De las cuentas que conforman los ingresos, los Tributarios nos muestra un aumento del 40.05% equivalente a $1.619.515 (miles de $); los no Tributarios por su parte tuvieron una disminución del 17.84% pasando de un saldo de $704.839 (miles de $) en la vigencia 2013, a un saldo en el 2014 de $579.105 (miles de $) lo que significa que en términos reales disminuyo la suma de $125.734 (miles de $).</w:t>
      </w:r>
    </w:p>
    <w:p w:rsidR="004C5FD6" w:rsidRDefault="004C5FD6" w:rsidP="004A16AB">
      <w:pPr>
        <w:spacing w:before="0" w:after="0"/>
        <w:jc w:val="both"/>
      </w:pPr>
    </w:p>
    <w:p w:rsidR="00093A8B" w:rsidRDefault="00C220C3" w:rsidP="004A16AB">
      <w:pPr>
        <w:spacing w:before="0" w:after="0"/>
        <w:jc w:val="both"/>
      </w:pPr>
      <w:r>
        <w:t xml:space="preserve">En cuanto a los Gastos, la cuenta de Gastos de Administración </w:t>
      </w:r>
      <w:r w:rsidR="00093A8B">
        <w:t>reflejan un disminución por</w:t>
      </w:r>
      <w:r>
        <w:t xml:space="preserve"> valor </w:t>
      </w:r>
      <w:r w:rsidR="00093A8B">
        <w:t>de $-924.575, comparado el 2015 con el 2014, dentro de estos las cuentas de Sueldos y Salarios disminuyeron su valor en el 26.23% y las Contribuciones Imputadas el 84.23%.</w:t>
      </w:r>
    </w:p>
    <w:p w:rsidR="00093A8B" w:rsidRDefault="00093A8B" w:rsidP="004A16AB">
      <w:pPr>
        <w:spacing w:before="0" w:after="0"/>
        <w:jc w:val="both"/>
      </w:pPr>
    </w:p>
    <w:p w:rsidR="00470118" w:rsidRDefault="00093A8B" w:rsidP="004A16AB">
      <w:pPr>
        <w:spacing w:before="0" w:after="0"/>
        <w:jc w:val="both"/>
      </w:pPr>
      <w:r>
        <w:t xml:space="preserve">Para los gastos de Operación, que registran una reducción del 68.42%, tenemos que </w:t>
      </w:r>
      <w:r w:rsidR="00470118">
        <w:t>las Contribuciones Efectivas disminuyeron el 95.53% y los Gastos Generales el 99.99%, comparado con lo presentado en la vigencia 2014.</w:t>
      </w:r>
    </w:p>
    <w:p w:rsidR="00470118" w:rsidRDefault="00470118" w:rsidP="004A16AB">
      <w:pPr>
        <w:spacing w:before="0" w:after="0"/>
        <w:jc w:val="both"/>
      </w:pPr>
    </w:p>
    <w:p w:rsidR="00093A8B" w:rsidRDefault="00470118" w:rsidP="004A16AB">
      <w:pPr>
        <w:spacing w:before="0" w:after="0"/>
        <w:jc w:val="both"/>
      </w:pPr>
      <w:r>
        <w:t>Finalmente, en cuanto al Gasto Público Social estos presentan un incremento del 26.74% es decir la sum de $2.611.188 miles de pesos, de allí que la Inversión en Educación para el 2015, subió el  16.97%, Salud el 8.71%, Agua Potable y Saneamiento Básico el 152.06%</w:t>
      </w:r>
    </w:p>
    <w:p w:rsidR="00093A8B" w:rsidRDefault="00093A8B" w:rsidP="004A16AB">
      <w:pPr>
        <w:spacing w:before="0" w:after="0"/>
        <w:jc w:val="both"/>
      </w:pPr>
    </w:p>
    <w:p w:rsidR="00093A8B" w:rsidRDefault="00470118" w:rsidP="004A16AB">
      <w:pPr>
        <w:spacing w:before="0" w:after="0"/>
        <w:jc w:val="both"/>
      </w:pPr>
      <w:r>
        <w:rPr>
          <w:noProof/>
        </w:rPr>
        <w:drawing>
          <wp:inline distT="0" distB="0" distL="0" distR="0" wp14:anchorId="720B9BC0">
            <wp:extent cx="5355605" cy="28384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765" cy="284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A8B" w:rsidRDefault="00093A8B" w:rsidP="004A16AB">
      <w:pPr>
        <w:spacing w:before="0" w:after="0"/>
        <w:jc w:val="both"/>
      </w:pPr>
    </w:p>
    <w:p w:rsidR="00A93BA5" w:rsidRDefault="00A93BA5" w:rsidP="004A16AB">
      <w:pPr>
        <w:spacing w:before="0" w:after="0"/>
        <w:jc w:val="both"/>
      </w:pPr>
    </w:p>
    <w:p w:rsidR="00BC5D7D" w:rsidRPr="00470118" w:rsidRDefault="00A93BA5" w:rsidP="00814D3D">
      <w:pPr>
        <w:pStyle w:val="Prrafodelista"/>
        <w:numPr>
          <w:ilvl w:val="0"/>
          <w:numId w:val="50"/>
        </w:numPr>
        <w:rPr>
          <w:rFonts w:ascii="Tahoma" w:hAnsi="Tahoma" w:cs="Tahoma"/>
          <w:b/>
        </w:rPr>
      </w:pPr>
      <w:r w:rsidRPr="00470118">
        <w:rPr>
          <w:rFonts w:ascii="Tahoma" w:hAnsi="Tahoma" w:cs="Tahoma"/>
          <w:b/>
        </w:rPr>
        <w:t>A</w:t>
      </w:r>
      <w:r w:rsidR="00814D3D" w:rsidRPr="00470118">
        <w:rPr>
          <w:rFonts w:ascii="Tahoma" w:hAnsi="Tahoma" w:cs="Tahoma"/>
          <w:b/>
        </w:rPr>
        <w:t>PLICACIÓN DE INDICADORES FINANCIEROS</w:t>
      </w:r>
    </w:p>
    <w:p w:rsidR="00814D3D" w:rsidRDefault="00814D3D" w:rsidP="00814D3D">
      <w:pPr>
        <w:rPr>
          <w:rFonts w:ascii="Tahoma" w:hAnsi="Tahoma" w:cs="Tahoma"/>
        </w:rPr>
      </w:pPr>
    </w:p>
    <w:p w:rsidR="00814D3D" w:rsidRPr="00814D3D" w:rsidRDefault="00814D3D" w:rsidP="00814D3D">
      <w:pPr>
        <w:pStyle w:val="Prrafodelista"/>
        <w:numPr>
          <w:ilvl w:val="1"/>
          <w:numId w:val="50"/>
        </w:numPr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814D3D">
      <w:pPr>
        <w:rPr>
          <w:rFonts w:ascii="Tahoma" w:hAnsi="Tahoma" w:cs="Tahoma"/>
        </w:rPr>
      </w:pPr>
    </w:p>
    <w:p w:rsidR="00814D3D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160B31">
      <w:pPr>
        <w:jc w:val="both"/>
        <w:rPr>
          <w:rFonts w:ascii="Tahoma" w:hAnsi="Tahoma" w:cs="Tahoma"/>
        </w:rPr>
      </w:pPr>
    </w:p>
    <w:p w:rsidR="00160B31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160B31">
      <w:pPr>
        <w:jc w:val="both"/>
        <w:rPr>
          <w:rFonts w:ascii="Tahoma" w:hAnsi="Tahoma" w:cs="Tahoma"/>
        </w:rPr>
      </w:pPr>
    </w:p>
    <w:p w:rsidR="00160B31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1666F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470118">
        <w:rPr>
          <w:rFonts w:ascii="Tahoma" w:hAnsi="Tahoma" w:cs="Tahoma"/>
        </w:rPr>
        <w:t>7.912.096</w:t>
      </w:r>
    </w:p>
    <w:p w:rsidR="00470118" w:rsidRDefault="00470118" w:rsidP="001666F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963.044</w:t>
      </w:r>
    </w:p>
    <w:p w:rsidR="00160B31" w:rsidRDefault="001666F5" w:rsidP="001666F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</w:r>
      <w:r w:rsidR="0052354B">
        <w:rPr>
          <w:rFonts w:ascii="Tahoma" w:hAnsi="Tahoma" w:cs="Tahoma"/>
        </w:rPr>
        <w:t xml:space="preserve"> </w:t>
      </w:r>
      <w:r w:rsidR="00470118">
        <w:rPr>
          <w:rFonts w:ascii="Tahoma" w:hAnsi="Tahoma" w:cs="Tahoma"/>
        </w:rPr>
        <w:t xml:space="preserve"> 4.677.944</w:t>
      </w:r>
    </w:p>
    <w:p w:rsidR="00BC5D7D" w:rsidRPr="00C036EE" w:rsidRDefault="001666F5" w:rsidP="00C036E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470118">
        <w:rPr>
          <w:rFonts w:ascii="Tahoma" w:hAnsi="Tahoma" w:cs="Tahoma"/>
        </w:rPr>
        <w:t xml:space="preserve">  6.086.223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  <w:t>$</w:t>
      </w:r>
      <w:r w:rsidR="009A1DC2">
        <w:t>19.639.307</w:t>
      </w:r>
    </w:p>
    <w:p w:rsidR="001666F5" w:rsidRDefault="001666F5" w:rsidP="001666F5">
      <w:pPr>
        <w:spacing w:before="0" w:after="0"/>
      </w:pPr>
    </w:p>
    <w:p w:rsidR="001666F5" w:rsidRDefault="001666F5" w:rsidP="001666F5">
      <w:pPr>
        <w:spacing w:before="0" w:after="0"/>
      </w:pPr>
      <w:r>
        <w:t>Pasivo Corriente:</w:t>
      </w:r>
    </w:p>
    <w:p w:rsidR="001666F5" w:rsidRDefault="001666F5" w:rsidP="001666F5">
      <w:pPr>
        <w:spacing w:before="0" w:after="0"/>
      </w:pPr>
      <w:r>
        <w:t>Cuentas por Pagar</w:t>
      </w:r>
      <w:r>
        <w:tab/>
      </w:r>
      <w:r>
        <w:tab/>
        <w:t xml:space="preserve">  </w:t>
      </w:r>
      <w:r w:rsidR="0052354B">
        <w:t>$</w:t>
      </w:r>
      <w:r w:rsidR="009A1DC2">
        <w:t>700.260</w:t>
      </w:r>
    </w:p>
    <w:p w:rsidR="009A1DC2" w:rsidRDefault="001666F5" w:rsidP="001666F5">
      <w:pPr>
        <w:spacing w:before="0" w:after="0"/>
      </w:pPr>
      <w:r>
        <w:t>Obligaciones Laborales</w:t>
      </w:r>
      <w:r>
        <w:tab/>
        <w:t xml:space="preserve">  </w:t>
      </w:r>
      <w:r w:rsidR="0052654A">
        <w:t xml:space="preserve">  </w:t>
      </w:r>
      <w:r w:rsidR="009A1DC2">
        <w:t>701.317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</w:r>
      <w:r>
        <w:tab/>
        <w:t>----------------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</w:r>
      <w:r>
        <w:tab/>
      </w:r>
      <w:r w:rsidR="0052354B">
        <w:t xml:space="preserve"> </w:t>
      </w:r>
      <w:r>
        <w:t>$</w:t>
      </w:r>
      <w:r w:rsidR="00A93BA5">
        <w:t>1.</w:t>
      </w:r>
      <w:r w:rsidR="009A1DC2">
        <w:t>401.877</w:t>
      </w:r>
    </w:p>
    <w:p w:rsidR="001666F5" w:rsidRDefault="001666F5" w:rsidP="001666F5">
      <w:pPr>
        <w:spacing w:before="0" w:after="0"/>
      </w:pPr>
    </w:p>
    <w:p w:rsidR="001666F5" w:rsidRDefault="001666F5" w:rsidP="001666F5">
      <w:pPr>
        <w:spacing w:before="0" w:after="0"/>
      </w:pPr>
      <w:r>
        <w:t>Razón Corriente  $</w:t>
      </w:r>
      <w:r w:rsidR="009A1DC2">
        <w:t>19.636.307</w:t>
      </w:r>
      <w:r w:rsidR="00A93BA5">
        <w:t xml:space="preserve"> </w:t>
      </w:r>
      <w:r>
        <w:t>/ $</w:t>
      </w:r>
      <w:r w:rsidR="009A1DC2">
        <w:t>1.401.877</w:t>
      </w:r>
      <w:r w:rsidR="00A93BA5">
        <w:t xml:space="preserve"> </w:t>
      </w:r>
      <w:r>
        <w:t xml:space="preserve">= </w:t>
      </w:r>
      <w:r w:rsidR="009A1DC2">
        <w:t>14.00</w:t>
      </w:r>
    </w:p>
    <w:p w:rsidR="00A7456E" w:rsidRDefault="00A7456E" w:rsidP="001666F5">
      <w:pPr>
        <w:spacing w:before="0" w:after="0"/>
      </w:pPr>
    </w:p>
    <w:p w:rsidR="00A7456E" w:rsidRDefault="00A7456E" w:rsidP="00A7456E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A93BA5">
        <w:t>Honda</w:t>
      </w:r>
      <w:r>
        <w:t xml:space="preserve"> debe a corto plazo, cuenta con </w:t>
      </w:r>
      <w:r w:rsidR="009A1DC2">
        <w:t>14</w:t>
      </w:r>
      <w:r>
        <w:t xml:space="preserve"> pesos en activos corriente para cubrirlos, lo que significa que el mencionado municipio refleja liquidez suficiente para cubrir sus pasivos de corto plazo.</w:t>
      </w:r>
    </w:p>
    <w:p w:rsidR="00A7456E" w:rsidRDefault="00A7456E" w:rsidP="00A7456E">
      <w:pPr>
        <w:spacing w:before="0" w:after="0"/>
        <w:jc w:val="both"/>
      </w:pPr>
    </w:p>
    <w:p w:rsidR="0052354B" w:rsidRDefault="0052354B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CAPITAL NETO DE TRABAJO</w:t>
      </w:r>
    </w:p>
    <w:p w:rsidR="00A7456E" w:rsidRDefault="00A7456E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A7456E">
      <w:pPr>
        <w:spacing w:before="0" w:after="0"/>
        <w:jc w:val="both"/>
      </w:pPr>
    </w:p>
    <w:p w:rsidR="00C57310" w:rsidRDefault="00C57310" w:rsidP="00A7456E">
      <w:pPr>
        <w:spacing w:before="0" w:after="0"/>
        <w:jc w:val="both"/>
      </w:pPr>
    </w:p>
    <w:p w:rsidR="00C57310" w:rsidRDefault="00C57310" w:rsidP="00A7456E">
      <w:pPr>
        <w:spacing w:before="0" w:after="0"/>
        <w:jc w:val="both"/>
      </w:pPr>
    </w:p>
    <w:p w:rsidR="00C57310" w:rsidRDefault="00C57310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Formula: Activo Corriente – Pasivo Corriente</w:t>
      </w:r>
    </w:p>
    <w:p w:rsidR="00A7456E" w:rsidRDefault="00A7456E" w:rsidP="00A7456E">
      <w:pPr>
        <w:spacing w:before="0" w:after="0"/>
        <w:jc w:val="both"/>
      </w:pPr>
    </w:p>
    <w:p w:rsidR="00A7456E" w:rsidRDefault="00C57310" w:rsidP="00A7456E">
      <w:pPr>
        <w:spacing w:before="0" w:after="0"/>
        <w:jc w:val="both"/>
      </w:pPr>
      <w:r>
        <w:t>$</w:t>
      </w:r>
      <w:r w:rsidR="009A1DC2">
        <w:t>$19.636.307 - $1.401.877</w:t>
      </w:r>
      <w:r w:rsidR="00A51B07">
        <w:t xml:space="preserve"> </w:t>
      </w:r>
      <w:r w:rsidR="00A7456E">
        <w:t>= $</w:t>
      </w:r>
      <w:r w:rsidR="009A1DC2">
        <w:t>18.234.430</w:t>
      </w:r>
    </w:p>
    <w:p w:rsidR="00A7456E" w:rsidRDefault="00A7456E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El anterior resultado nos indica que el ente territorial cuenta con suficientes recursos propios para operar.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NIVEL DE ENDEUDAMIENTO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Formula: Pasivo Total con Terceros / Activo Total</w:t>
      </w:r>
    </w:p>
    <w:p w:rsidR="003E25A9" w:rsidRDefault="003E25A9" w:rsidP="00A7456E">
      <w:pPr>
        <w:spacing w:before="0" w:after="0"/>
        <w:jc w:val="both"/>
      </w:pPr>
    </w:p>
    <w:p w:rsidR="003E25A9" w:rsidRDefault="005813D3" w:rsidP="00A7456E">
      <w:pPr>
        <w:spacing w:before="0" w:after="0"/>
        <w:jc w:val="both"/>
      </w:pPr>
      <w:r>
        <w:t>$</w:t>
      </w:r>
      <w:r w:rsidR="009A1DC2">
        <w:t>1.427.217</w:t>
      </w:r>
      <w:r w:rsidR="003E25A9">
        <w:t xml:space="preserve"> / </w:t>
      </w:r>
      <w:r w:rsidR="00661F90">
        <w:t>$</w:t>
      </w:r>
      <w:r w:rsidR="009A1DC2">
        <w:t>85.766.509</w:t>
      </w:r>
      <w:r w:rsidR="004C38AA">
        <w:t xml:space="preserve"> </w:t>
      </w:r>
      <w:r w:rsidR="003E25A9">
        <w:t xml:space="preserve">= </w:t>
      </w:r>
      <w:r w:rsidR="009A1DC2">
        <w:t>1.66</w:t>
      </w:r>
      <w:r w:rsidR="003E25A9">
        <w:t>%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9A1DC2">
        <w:t>1.66</w:t>
      </w:r>
      <w:r>
        <w:t>% está siendo financiado por los acreedores.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RAZÓN DEL PATRIMONIO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Formula: Patrimonio Total / Activo Total</w:t>
      </w:r>
    </w:p>
    <w:p w:rsidR="003E25A9" w:rsidRDefault="003E25A9" w:rsidP="00A7456E">
      <w:pPr>
        <w:spacing w:before="0" w:after="0"/>
        <w:jc w:val="both"/>
      </w:pPr>
    </w:p>
    <w:p w:rsidR="003E25A9" w:rsidRDefault="00764ABD" w:rsidP="00A7456E">
      <w:pPr>
        <w:spacing w:before="0" w:after="0"/>
        <w:jc w:val="both"/>
      </w:pPr>
      <w:r>
        <w:t>$</w:t>
      </w:r>
      <w:r w:rsidR="009A1DC2">
        <w:t>84.339.592</w:t>
      </w:r>
      <w:r w:rsidR="003E25A9">
        <w:t xml:space="preserve"> / </w:t>
      </w:r>
      <w:r w:rsidR="00661F90">
        <w:t>$</w:t>
      </w:r>
      <w:r w:rsidR="009A1DC2">
        <w:t>85.766.509</w:t>
      </w:r>
      <w:r w:rsidR="0014022D">
        <w:t xml:space="preserve"> </w:t>
      </w:r>
      <w:r>
        <w:t xml:space="preserve">= </w:t>
      </w:r>
      <w:r w:rsidR="00661F90">
        <w:t>9</w:t>
      </w:r>
      <w:r w:rsidR="009A1DC2">
        <w:t>8</w:t>
      </w:r>
      <w:r w:rsidR="00661F90">
        <w:t>.</w:t>
      </w:r>
      <w:r w:rsidR="009A1DC2">
        <w:t>33</w:t>
      </w:r>
      <w:r>
        <w:t>%</w:t>
      </w:r>
    </w:p>
    <w:p w:rsidR="008326D2" w:rsidRDefault="008326D2" w:rsidP="00A7456E">
      <w:pPr>
        <w:spacing w:before="0" w:after="0"/>
        <w:jc w:val="both"/>
      </w:pPr>
    </w:p>
    <w:p w:rsidR="008326D2" w:rsidRDefault="008326D2" w:rsidP="00A7456E">
      <w:pPr>
        <w:spacing w:before="0" w:after="0"/>
        <w:jc w:val="both"/>
      </w:pPr>
      <w:r>
        <w:t xml:space="preserve">El porcentaje establecido anteriormente nos indica que el </w:t>
      </w:r>
      <w:r w:rsidR="009A1DC2">
        <w:t>98.33</w:t>
      </w:r>
      <w:r>
        <w:t>% de los activos, están siendo financiados con capital propio.</w:t>
      </w:r>
    </w:p>
    <w:p w:rsidR="006756E8" w:rsidRDefault="006756E8" w:rsidP="00A7456E">
      <w:pPr>
        <w:spacing w:before="0" w:after="0"/>
        <w:jc w:val="both"/>
      </w:pPr>
    </w:p>
    <w:p w:rsidR="006756E8" w:rsidRDefault="006756E8" w:rsidP="00A7456E">
      <w:pPr>
        <w:spacing w:before="0" w:after="0"/>
        <w:jc w:val="both"/>
      </w:pPr>
    </w:p>
    <w:p w:rsidR="006756E8" w:rsidRDefault="006756E8" w:rsidP="006756E8">
      <w:pPr>
        <w:pStyle w:val="Prrafodelista"/>
        <w:numPr>
          <w:ilvl w:val="0"/>
          <w:numId w:val="50"/>
        </w:numPr>
        <w:spacing w:before="0" w:after="0"/>
        <w:jc w:val="both"/>
      </w:pPr>
      <w:r>
        <w:t>CONCEPTUALIZACION SOBRE LOS ESTADOS FINANCIEROS 2014</w:t>
      </w:r>
    </w:p>
    <w:p w:rsidR="006756E8" w:rsidRDefault="006756E8" w:rsidP="006756E8">
      <w:pPr>
        <w:spacing w:before="0" w:after="0"/>
        <w:jc w:val="both"/>
      </w:pPr>
    </w:p>
    <w:p w:rsidR="006756E8" w:rsidRDefault="006756E8" w:rsidP="006756E8">
      <w:pPr>
        <w:spacing w:before="0" w:after="0"/>
        <w:jc w:val="both"/>
      </w:pPr>
      <w:r>
        <w:t xml:space="preserve">El municipio de </w:t>
      </w:r>
      <w:r w:rsidR="0079292A">
        <w:t>Honda</w:t>
      </w:r>
      <w:r>
        <w:t xml:space="preserve"> de acuerdo con su Balance General terminado en la fecha, se observa que sus activos totales crecieron un </w:t>
      </w:r>
      <w:r w:rsidR="009A1DC2">
        <w:t>19.50</w:t>
      </w:r>
      <w:r w:rsidR="0079292A">
        <w:t>%</w:t>
      </w:r>
      <w:r>
        <w:t xml:space="preserve"> en la suma de $</w:t>
      </w:r>
      <w:r w:rsidR="009A1DC2">
        <w:t>13.994.143</w:t>
      </w:r>
      <w:r>
        <w:t xml:space="preserve"> (mi</w:t>
      </w:r>
      <w:r w:rsidR="003F4D1A">
        <w:t>l</w:t>
      </w:r>
      <w:r>
        <w:t xml:space="preserve">es de </w:t>
      </w:r>
      <w:r>
        <w:lastRenderedPageBreak/>
        <w:t>$), con relación al periodo 201</w:t>
      </w:r>
      <w:r w:rsidR="009A1DC2">
        <w:t>4</w:t>
      </w:r>
      <w:r>
        <w:t xml:space="preserve">, </w:t>
      </w:r>
      <w:r w:rsidR="009A1DC2">
        <w:t>representado en las cuentas de Depósitos en Instituciones Financieras, Deudores y Propiedad Planta y Equipo</w:t>
      </w:r>
      <w:r w:rsidR="0079292A">
        <w:t>.</w:t>
      </w:r>
    </w:p>
    <w:p w:rsidR="006756E8" w:rsidRDefault="006756E8" w:rsidP="006756E8">
      <w:pPr>
        <w:spacing w:before="0" w:after="0"/>
        <w:jc w:val="both"/>
      </w:pPr>
    </w:p>
    <w:p w:rsidR="006756E8" w:rsidRDefault="006756E8" w:rsidP="006756E8">
      <w:pPr>
        <w:spacing w:before="0" w:after="0"/>
        <w:jc w:val="both"/>
      </w:pPr>
      <w:r>
        <w:t xml:space="preserve">Su patrimonio </w:t>
      </w:r>
      <w:r w:rsidR="0083581F">
        <w:t>creció</w:t>
      </w:r>
      <w:r>
        <w:t xml:space="preserve"> un </w:t>
      </w:r>
      <w:r w:rsidR="006A6B06">
        <w:t>2</w:t>
      </w:r>
      <w:r w:rsidR="009A1DC2">
        <w:t>0.54</w:t>
      </w:r>
      <w:r>
        <w:t xml:space="preserve">%, </w:t>
      </w:r>
      <w:r w:rsidR="0083581F">
        <w:t>impulsado</w:t>
      </w:r>
      <w:r>
        <w:t xml:space="preserve"> principalmente por la cuenta </w:t>
      </w:r>
      <w:r w:rsidR="009A1DC2">
        <w:t>Capital Fiscal</w:t>
      </w:r>
      <w:r w:rsidR="006A6B06">
        <w:t xml:space="preserve"> </w:t>
      </w:r>
      <w:r w:rsidR="0083581F">
        <w:t>la cual creció en términos reales en la suma de $</w:t>
      </w:r>
      <w:r w:rsidR="00F52DAE">
        <w:t>16.000.569</w:t>
      </w:r>
      <w:r w:rsidR="000D2062">
        <w:t xml:space="preserve"> miles de $.</w:t>
      </w:r>
    </w:p>
    <w:p w:rsidR="00B3200D" w:rsidRDefault="00B3200D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>Su estructura financiera al cierre del periodo contable 201</w:t>
      </w:r>
      <w:r w:rsidR="00F52DAE">
        <w:t>5</w:t>
      </w:r>
      <w:r>
        <w:t xml:space="preserve">, estaba representada en el </w:t>
      </w:r>
      <w:r w:rsidR="00422369">
        <w:t>2</w:t>
      </w:r>
      <w:r w:rsidR="0083581F">
        <w:t>.</w:t>
      </w:r>
      <w:r w:rsidR="00422369">
        <w:t>5</w:t>
      </w:r>
      <w:r w:rsidR="0083581F">
        <w:t>2</w:t>
      </w:r>
      <w:r>
        <w:t xml:space="preserve">% los pasivos y el </w:t>
      </w:r>
      <w:r w:rsidR="0083581F">
        <w:t>97.48</w:t>
      </w:r>
      <w:r>
        <w:t>% el patrimonio.</w:t>
      </w:r>
    </w:p>
    <w:p w:rsidR="000D2062" w:rsidRDefault="000D2062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 xml:space="preserve">El municipio presenta un nivel de endeudamiento bajo respecto al total de sus activos, alcanzando un margen del </w:t>
      </w:r>
      <w:r w:rsidR="00F52DAE">
        <w:t>1.66</w:t>
      </w:r>
      <w:r>
        <w:t>%.</w:t>
      </w:r>
    </w:p>
    <w:p w:rsidR="000D2062" w:rsidRDefault="000D2062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 xml:space="preserve">De acuerdo con los resultados de sus indicadores </w:t>
      </w:r>
      <w:r w:rsidR="00C83948">
        <w:t xml:space="preserve">podemos concluir que el municipio de </w:t>
      </w:r>
      <w:r w:rsidR="0083581F">
        <w:t>Honda</w:t>
      </w:r>
      <w:r w:rsidR="00422369">
        <w:t xml:space="preserve">, </w:t>
      </w:r>
      <w:r w:rsidR="00C83948">
        <w:t>al corte del 3</w:t>
      </w:r>
      <w:r w:rsidR="00422369">
        <w:t>1</w:t>
      </w:r>
      <w:r w:rsidR="00C83948">
        <w:t xml:space="preserve"> de diciembre de 201</w:t>
      </w:r>
      <w:r w:rsidR="00F52DAE">
        <w:t>5</w:t>
      </w:r>
      <w:r w:rsidR="00C83948">
        <w:t>, presentaba una situación financiera favorable.</w:t>
      </w:r>
    </w:p>
    <w:p w:rsidR="00A7456E" w:rsidRPr="0067758A" w:rsidRDefault="00A7456E" w:rsidP="00A7456E">
      <w:pPr>
        <w:spacing w:before="0" w:after="0"/>
        <w:jc w:val="both"/>
      </w:pPr>
    </w:p>
    <w:sectPr w:rsidR="00A7456E" w:rsidRPr="0067758A" w:rsidSect="00454B8B">
      <w:headerReference w:type="default" r:id="rId10"/>
      <w:footerReference w:type="default" r:id="rId11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37" w:rsidRDefault="007B2737" w:rsidP="00650A99">
      <w:r>
        <w:separator/>
      </w:r>
    </w:p>
  </w:endnote>
  <w:endnote w:type="continuationSeparator" w:id="0">
    <w:p w:rsidR="007B2737" w:rsidRDefault="007B2737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C63" w:rsidRPr="00070555" w:rsidRDefault="004A6C63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6C63" w:rsidRPr="003205FF" w:rsidRDefault="004A6C63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B3994" w:rsidRPr="008B3994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8B3994" w:rsidRPr="008B3994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10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4A6C63" w:rsidRPr="003205FF" w:rsidRDefault="004A6C63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8B3994" w:rsidRPr="008B3994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8B3994" w:rsidRPr="008B3994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10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6C63" w:rsidRDefault="004A6C6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4A6C63" w:rsidRDefault="004A6C63"/>
                </w:txbxContent>
              </v:textbox>
            </v:shape>
          </w:pict>
        </mc:Fallback>
      </mc:AlternateContent>
    </w:r>
  </w:p>
  <w:p w:rsidR="004A6C63" w:rsidRPr="00070555" w:rsidRDefault="004A6C63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6C63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4A6C63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4A6C63" w:rsidRPr="00BB3D88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4A6C63" w:rsidRPr="003205FF" w:rsidRDefault="008B3994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4A6C63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4A6C63" w:rsidRPr="000352F0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4A6C63" w:rsidRPr="00BB3D88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4A6C63" w:rsidRPr="00A926CE" w:rsidRDefault="004A6C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4A6C63" w:rsidRDefault="004A6C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4A6C63" w:rsidRDefault="004A6C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4A6C63" w:rsidRPr="00BB3D88" w:rsidRDefault="004A6C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4A6C63" w:rsidRPr="003205FF" w:rsidRDefault="008B3994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4A6C63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4A6C63" w:rsidRPr="000352F0" w:rsidRDefault="004A6C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4A6C63" w:rsidRPr="00BB3D88" w:rsidRDefault="004A6C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4A6C63" w:rsidRPr="00A926CE" w:rsidRDefault="004A6C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37" w:rsidRDefault="007B2737" w:rsidP="00650A99">
      <w:r>
        <w:separator/>
      </w:r>
    </w:p>
  </w:footnote>
  <w:footnote w:type="continuationSeparator" w:id="0">
    <w:p w:rsidR="007B2737" w:rsidRDefault="007B2737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C63" w:rsidRDefault="00573654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93A8B"/>
    <w:rsid w:val="000A4FDA"/>
    <w:rsid w:val="000A5F72"/>
    <w:rsid w:val="000B2584"/>
    <w:rsid w:val="000B4A4D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13D1B"/>
    <w:rsid w:val="00124F58"/>
    <w:rsid w:val="001301DF"/>
    <w:rsid w:val="00131E4E"/>
    <w:rsid w:val="00132C47"/>
    <w:rsid w:val="0013431C"/>
    <w:rsid w:val="001361E3"/>
    <w:rsid w:val="00136B4B"/>
    <w:rsid w:val="0014022D"/>
    <w:rsid w:val="0014091C"/>
    <w:rsid w:val="001531E5"/>
    <w:rsid w:val="00154430"/>
    <w:rsid w:val="001605A0"/>
    <w:rsid w:val="00160B31"/>
    <w:rsid w:val="001666F5"/>
    <w:rsid w:val="0017250D"/>
    <w:rsid w:val="0019694C"/>
    <w:rsid w:val="001A5473"/>
    <w:rsid w:val="001B7E9B"/>
    <w:rsid w:val="001C7185"/>
    <w:rsid w:val="001D30AE"/>
    <w:rsid w:val="001E0386"/>
    <w:rsid w:val="001E19D5"/>
    <w:rsid w:val="001E2459"/>
    <w:rsid w:val="001E6C74"/>
    <w:rsid w:val="001F3A50"/>
    <w:rsid w:val="001F3E0C"/>
    <w:rsid w:val="002049C5"/>
    <w:rsid w:val="00216974"/>
    <w:rsid w:val="00224140"/>
    <w:rsid w:val="00226503"/>
    <w:rsid w:val="002467D6"/>
    <w:rsid w:val="00250B2A"/>
    <w:rsid w:val="00254A87"/>
    <w:rsid w:val="0025784C"/>
    <w:rsid w:val="002608D4"/>
    <w:rsid w:val="00265733"/>
    <w:rsid w:val="00267A53"/>
    <w:rsid w:val="002702FE"/>
    <w:rsid w:val="002751D2"/>
    <w:rsid w:val="00293B22"/>
    <w:rsid w:val="00294FB6"/>
    <w:rsid w:val="00297AD1"/>
    <w:rsid w:val="002A5283"/>
    <w:rsid w:val="002B19C2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67CB1"/>
    <w:rsid w:val="00372F40"/>
    <w:rsid w:val="003740CB"/>
    <w:rsid w:val="00375CC7"/>
    <w:rsid w:val="0039183D"/>
    <w:rsid w:val="00391C14"/>
    <w:rsid w:val="00397766"/>
    <w:rsid w:val="003A5822"/>
    <w:rsid w:val="003B11DD"/>
    <w:rsid w:val="003B1AC6"/>
    <w:rsid w:val="003B72A8"/>
    <w:rsid w:val="003C0774"/>
    <w:rsid w:val="003C5E57"/>
    <w:rsid w:val="003E0080"/>
    <w:rsid w:val="003E25A9"/>
    <w:rsid w:val="003F4D1A"/>
    <w:rsid w:val="003F5E08"/>
    <w:rsid w:val="004032C1"/>
    <w:rsid w:val="00407637"/>
    <w:rsid w:val="004120E2"/>
    <w:rsid w:val="00422369"/>
    <w:rsid w:val="00430D77"/>
    <w:rsid w:val="00440EAB"/>
    <w:rsid w:val="00444EB8"/>
    <w:rsid w:val="00452E65"/>
    <w:rsid w:val="00454B8B"/>
    <w:rsid w:val="00466271"/>
    <w:rsid w:val="0046718C"/>
    <w:rsid w:val="00467508"/>
    <w:rsid w:val="00467595"/>
    <w:rsid w:val="00470118"/>
    <w:rsid w:val="00480FCA"/>
    <w:rsid w:val="0048203B"/>
    <w:rsid w:val="0049303C"/>
    <w:rsid w:val="00496461"/>
    <w:rsid w:val="004A00E3"/>
    <w:rsid w:val="004A16AB"/>
    <w:rsid w:val="004A6C63"/>
    <w:rsid w:val="004B3739"/>
    <w:rsid w:val="004C10FE"/>
    <w:rsid w:val="004C250E"/>
    <w:rsid w:val="004C27B6"/>
    <w:rsid w:val="004C38AA"/>
    <w:rsid w:val="004C5FD6"/>
    <w:rsid w:val="004E17F3"/>
    <w:rsid w:val="004E3F57"/>
    <w:rsid w:val="004E585C"/>
    <w:rsid w:val="004F2F93"/>
    <w:rsid w:val="004F4C50"/>
    <w:rsid w:val="00506345"/>
    <w:rsid w:val="00516E68"/>
    <w:rsid w:val="00520FA4"/>
    <w:rsid w:val="0052354B"/>
    <w:rsid w:val="0052650A"/>
    <w:rsid w:val="0052654A"/>
    <w:rsid w:val="005279E8"/>
    <w:rsid w:val="00551920"/>
    <w:rsid w:val="00552A0E"/>
    <w:rsid w:val="00560B0C"/>
    <w:rsid w:val="00560CA3"/>
    <w:rsid w:val="00562B5C"/>
    <w:rsid w:val="00563F32"/>
    <w:rsid w:val="00573654"/>
    <w:rsid w:val="005813D3"/>
    <w:rsid w:val="00585BCF"/>
    <w:rsid w:val="00585ED0"/>
    <w:rsid w:val="00590A7E"/>
    <w:rsid w:val="005916D2"/>
    <w:rsid w:val="00595ED2"/>
    <w:rsid w:val="005A1118"/>
    <w:rsid w:val="005A2D39"/>
    <w:rsid w:val="005B6F12"/>
    <w:rsid w:val="005C3743"/>
    <w:rsid w:val="005E1DE9"/>
    <w:rsid w:val="005E5E78"/>
    <w:rsid w:val="005F356A"/>
    <w:rsid w:val="00603AAD"/>
    <w:rsid w:val="006068E9"/>
    <w:rsid w:val="006074FF"/>
    <w:rsid w:val="00614D4B"/>
    <w:rsid w:val="00617A76"/>
    <w:rsid w:val="00617E98"/>
    <w:rsid w:val="00630301"/>
    <w:rsid w:val="00644A95"/>
    <w:rsid w:val="00650A99"/>
    <w:rsid w:val="00652DA3"/>
    <w:rsid w:val="00660ABE"/>
    <w:rsid w:val="00661F90"/>
    <w:rsid w:val="00670D69"/>
    <w:rsid w:val="00672971"/>
    <w:rsid w:val="006756E8"/>
    <w:rsid w:val="0067758A"/>
    <w:rsid w:val="00687B70"/>
    <w:rsid w:val="00692975"/>
    <w:rsid w:val="006A5FCB"/>
    <w:rsid w:val="006A6B06"/>
    <w:rsid w:val="006B765E"/>
    <w:rsid w:val="006D2B4A"/>
    <w:rsid w:val="00700DB0"/>
    <w:rsid w:val="0070120A"/>
    <w:rsid w:val="007062D9"/>
    <w:rsid w:val="00706545"/>
    <w:rsid w:val="00740A32"/>
    <w:rsid w:val="00745063"/>
    <w:rsid w:val="00747180"/>
    <w:rsid w:val="00754337"/>
    <w:rsid w:val="00764ABD"/>
    <w:rsid w:val="00770276"/>
    <w:rsid w:val="00770ADC"/>
    <w:rsid w:val="00771928"/>
    <w:rsid w:val="00773282"/>
    <w:rsid w:val="0079292A"/>
    <w:rsid w:val="00796DDA"/>
    <w:rsid w:val="007A258D"/>
    <w:rsid w:val="007B2737"/>
    <w:rsid w:val="007B2C12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3475C"/>
    <w:rsid w:val="0083581F"/>
    <w:rsid w:val="00872CA8"/>
    <w:rsid w:val="008761A0"/>
    <w:rsid w:val="008925BD"/>
    <w:rsid w:val="00896B2B"/>
    <w:rsid w:val="00897455"/>
    <w:rsid w:val="008A0D33"/>
    <w:rsid w:val="008A5D7F"/>
    <w:rsid w:val="008B3994"/>
    <w:rsid w:val="008D6FB2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523F7"/>
    <w:rsid w:val="00957662"/>
    <w:rsid w:val="009606B3"/>
    <w:rsid w:val="00966EAD"/>
    <w:rsid w:val="00990B51"/>
    <w:rsid w:val="00991F22"/>
    <w:rsid w:val="009A1DC2"/>
    <w:rsid w:val="009C0615"/>
    <w:rsid w:val="009D7ECE"/>
    <w:rsid w:val="009F3F48"/>
    <w:rsid w:val="00A04FA7"/>
    <w:rsid w:val="00A14B9F"/>
    <w:rsid w:val="00A32BD8"/>
    <w:rsid w:val="00A34FD5"/>
    <w:rsid w:val="00A43B37"/>
    <w:rsid w:val="00A44F64"/>
    <w:rsid w:val="00A47CA0"/>
    <w:rsid w:val="00A51B07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93BA5"/>
    <w:rsid w:val="00AA75DD"/>
    <w:rsid w:val="00AB37B1"/>
    <w:rsid w:val="00AB4EE7"/>
    <w:rsid w:val="00AB659A"/>
    <w:rsid w:val="00AC2B0C"/>
    <w:rsid w:val="00AC6DD0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200D"/>
    <w:rsid w:val="00B34497"/>
    <w:rsid w:val="00B37D84"/>
    <w:rsid w:val="00B430BE"/>
    <w:rsid w:val="00B5291B"/>
    <w:rsid w:val="00B56463"/>
    <w:rsid w:val="00B571D0"/>
    <w:rsid w:val="00B6483D"/>
    <w:rsid w:val="00B65897"/>
    <w:rsid w:val="00B7024B"/>
    <w:rsid w:val="00B74F06"/>
    <w:rsid w:val="00B773B4"/>
    <w:rsid w:val="00B83BF2"/>
    <w:rsid w:val="00B8540B"/>
    <w:rsid w:val="00B97673"/>
    <w:rsid w:val="00BA69B4"/>
    <w:rsid w:val="00BB2EB5"/>
    <w:rsid w:val="00BB3D88"/>
    <w:rsid w:val="00BC5D7D"/>
    <w:rsid w:val="00BD3082"/>
    <w:rsid w:val="00BE325A"/>
    <w:rsid w:val="00C036EE"/>
    <w:rsid w:val="00C0423C"/>
    <w:rsid w:val="00C06948"/>
    <w:rsid w:val="00C20CA8"/>
    <w:rsid w:val="00C220C3"/>
    <w:rsid w:val="00C276A2"/>
    <w:rsid w:val="00C334D1"/>
    <w:rsid w:val="00C35423"/>
    <w:rsid w:val="00C36BE7"/>
    <w:rsid w:val="00C404DC"/>
    <w:rsid w:val="00C43064"/>
    <w:rsid w:val="00C54674"/>
    <w:rsid w:val="00C57310"/>
    <w:rsid w:val="00C6685D"/>
    <w:rsid w:val="00C70370"/>
    <w:rsid w:val="00C81FC2"/>
    <w:rsid w:val="00C83948"/>
    <w:rsid w:val="00CB47E0"/>
    <w:rsid w:val="00CC0170"/>
    <w:rsid w:val="00CC38D6"/>
    <w:rsid w:val="00CC74DC"/>
    <w:rsid w:val="00CD5CCB"/>
    <w:rsid w:val="00CE15C2"/>
    <w:rsid w:val="00CE3D10"/>
    <w:rsid w:val="00CE6524"/>
    <w:rsid w:val="00CF0493"/>
    <w:rsid w:val="00CF6745"/>
    <w:rsid w:val="00D42439"/>
    <w:rsid w:val="00D54F11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DF00F3"/>
    <w:rsid w:val="00E00EAB"/>
    <w:rsid w:val="00E06024"/>
    <w:rsid w:val="00E37DA4"/>
    <w:rsid w:val="00E438FA"/>
    <w:rsid w:val="00E44E11"/>
    <w:rsid w:val="00E562E9"/>
    <w:rsid w:val="00E745B9"/>
    <w:rsid w:val="00E80CF1"/>
    <w:rsid w:val="00EA42B8"/>
    <w:rsid w:val="00EB1E9E"/>
    <w:rsid w:val="00EC07A6"/>
    <w:rsid w:val="00ED1873"/>
    <w:rsid w:val="00ED18CB"/>
    <w:rsid w:val="00EE5CDC"/>
    <w:rsid w:val="00F067EF"/>
    <w:rsid w:val="00F11CE8"/>
    <w:rsid w:val="00F152E9"/>
    <w:rsid w:val="00F413A2"/>
    <w:rsid w:val="00F52DAE"/>
    <w:rsid w:val="00F57D5F"/>
    <w:rsid w:val="00F64422"/>
    <w:rsid w:val="00F74A4C"/>
    <w:rsid w:val="00FA4C6D"/>
    <w:rsid w:val="00FB1D70"/>
    <w:rsid w:val="00FC413F"/>
    <w:rsid w:val="00FD1869"/>
    <w:rsid w:val="00FD52EC"/>
    <w:rsid w:val="00FE2514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7F934F5-6FF6-4313-A792-6A323131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621A-00C5-49FD-8B60-C0266BF1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10</Pages>
  <Words>2354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43</cp:revision>
  <cp:lastPrinted>2016-12-25T21:57:00Z</cp:lastPrinted>
  <dcterms:created xsi:type="dcterms:W3CDTF">2015-09-17T16:47:00Z</dcterms:created>
  <dcterms:modified xsi:type="dcterms:W3CDTF">2016-12-25T21:57:00Z</dcterms:modified>
</cp:coreProperties>
</file>